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4" w:rsidRDefault="000B7117" w:rsidP="00DD7E98">
      <w:pPr>
        <w:pStyle w:val="Heading2"/>
      </w:pPr>
      <w:r>
        <w:t>FARE ENFORCEMENT</w:t>
      </w:r>
      <w:r w:rsidR="00346674">
        <w:t xml:space="preserve"> SOP: </w:t>
      </w:r>
      <w:r w:rsidR="00EA4F3C">
        <w:t>BLOCKED ORCA CARD</w:t>
      </w:r>
      <w:r>
        <w:t xml:space="preserve"> INSPECTIONS</w:t>
      </w:r>
    </w:p>
    <w:p w:rsidR="000427D6" w:rsidRPr="00537792" w:rsidRDefault="000427D6" w:rsidP="00DD7E98">
      <w:pPr>
        <w:rPr>
          <w:rFonts w:ascii="Arial" w:hAnsi="Arial"/>
        </w:rPr>
      </w:pPr>
    </w:p>
    <w:p w:rsidR="00346674" w:rsidRDefault="00346674" w:rsidP="009B6C03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1.0</w:t>
      </w:r>
      <w:r>
        <w:rPr>
          <w:rFonts w:ascii="Arial-BoldMT" w:hAnsi="Arial-BoldMT"/>
          <w:b/>
          <w:snapToGrid w:val="0"/>
        </w:rPr>
        <w:tab/>
        <w:t>PURPOSE:</w:t>
      </w:r>
    </w:p>
    <w:p w:rsidR="00346674" w:rsidRDefault="00B844D4" w:rsidP="009B6C0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directive establishes the </w:t>
      </w:r>
      <w:r w:rsidR="00423C93">
        <w:rPr>
          <w:rFonts w:ascii="Arial" w:hAnsi="Arial"/>
          <w:sz w:val="18"/>
        </w:rPr>
        <w:t>Standard Operating Procedure</w:t>
      </w:r>
      <w:r>
        <w:rPr>
          <w:rFonts w:ascii="Arial" w:hAnsi="Arial"/>
          <w:sz w:val="18"/>
        </w:rPr>
        <w:t xml:space="preserve"> </w:t>
      </w:r>
      <w:r w:rsidR="00CD5D3B">
        <w:rPr>
          <w:rFonts w:ascii="Arial" w:hAnsi="Arial"/>
          <w:sz w:val="18"/>
        </w:rPr>
        <w:t>for dealing with</w:t>
      </w:r>
      <w:r w:rsidR="00423C93">
        <w:rPr>
          <w:rFonts w:ascii="Arial" w:hAnsi="Arial"/>
          <w:sz w:val="18"/>
        </w:rPr>
        <w:t xml:space="preserve"> </w:t>
      </w:r>
      <w:r w:rsidR="00CD5D3B">
        <w:rPr>
          <w:rFonts w:ascii="Arial" w:hAnsi="Arial"/>
          <w:sz w:val="18"/>
        </w:rPr>
        <w:t>b</w:t>
      </w:r>
      <w:r w:rsidR="00F00BA5">
        <w:rPr>
          <w:rFonts w:ascii="Arial" w:hAnsi="Arial"/>
          <w:sz w:val="18"/>
        </w:rPr>
        <w:t xml:space="preserve">locked ORCA </w:t>
      </w:r>
      <w:r w:rsidR="00CD5D3B">
        <w:rPr>
          <w:rFonts w:ascii="Arial" w:hAnsi="Arial"/>
          <w:sz w:val="18"/>
        </w:rPr>
        <w:t>c</w:t>
      </w:r>
      <w:r w:rsidR="00F00BA5">
        <w:rPr>
          <w:rFonts w:ascii="Arial" w:hAnsi="Arial"/>
          <w:sz w:val="18"/>
        </w:rPr>
        <w:t>ard</w:t>
      </w:r>
      <w:r w:rsidR="00CD5D3B">
        <w:rPr>
          <w:rFonts w:ascii="Arial" w:hAnsi="Arial"/>
          <w:sz w:val="18"/>
        </w:rPr>
        <w:t>s</w:t>
      </w:r>
      <w:r w:rsidR="003B3ED0">
        <w:rPr>
          <w:rFonts w:ascii="Arial" w:hAnsi="Arial"/>
          <w:sz w:val="18"/>
        </w:rPr>
        <w:t xml:space="preserve"> </w:t>
      </w:r>
      <w:r w:rsidR="00CD5D3B" w:rsidRPr="00CD5D3B">
        <w:rPr>
          <w:rFonts w:ascii="Arial" w:hAnsi="Arial"/>
          <w:sz w:val="18"/>
        </w:rPr>
        <w:t>by the members of the King County Metro Fare Enforcement Division team</w:t>
      </w:r>
      <w:r>
        <w:rPr>
          <w:rFonts w:ascii="Arial" w:hAnsi="Arial"/>
          <w:sz w:val="18"/>
        </w:rPr>
        <w:t xml:space="preserve">. </w:t>
      </w:r>
      <w:r w:rsidR="00423C93">
        <w:rPr>
          <w:rFonts w:ascii="Arial" w:hAnsi="Arial"/>
          <w:sz w:val="18"/>
        </w:rPr>
        <w:t xml:space="preserve">This SOP defines </w:t>
      </w:r>
      <w:r w:rsidR="003F0A3E">
        <w:rPr>
          <w:rFonts w:ascii="Arial" w:hAnsi="Arial"/>
          <w:sz w:val="18"/>
        </w:rPr>
        <w:t xml:space="preserve">the basics of </w:t>
      </w:r>
      <w:r w:rsidR="00F00BA5">
        <w:rPr>
          <w:rFonts w:ascii="Arial" w:hAnsi="Arial"/>
          <w:sz w:val="18"/>
        </w:rPr>
        <w:t>Blocked O</w:t>
      </w:r>
      <w:r w:rsidR="00D25442">
        <w:rPr>
          <w:rFonts w:ascii="Arial" w:hAnsi="Arial"/>
          <w:sz w:val="18"/>
        </w:rPr>
        <w:t>RCA</w:t>
      </w:r>
      <w:r w:rsidR="00F00BA5">
        <w:rPr>
          <w:rFonts w:ascii="Arial" w:hAnsi="Arial"/>
          <w:sz w:val="18"/>
        </w:rPr>
        <w:t xml:space="preserve"> Card</w:t>
      </w:r>
      <w:r w:rsidR="003B3ED0">
        <w:rPr>
          <w:rFonts w:ascii="Arial" w:hAnsi="Arial"/>
          <w:sz w:val="18"/>
        </w:rPr>
        <w:t xml:space="preserve"> Inspection.</w:t>
      </w:r>
    </w:p>
    <w:p w:rsidR="000427D6" w:rsidRDefault="000427D6" w:rsidP="009B6C03">
      <w:pPr>
        <w:spacing w:line="360" w:lineRule="auto"/>
        <w:rPr>
          <w:rFonts w:ascii="Arial-BoldMT" w:hAnsi="Arial-BoldMT"/>
          <w:b/>
          <w:snapToGrid w:val="0"/>
        </w:rPr>
      </w:pPr>
    </w:p>
    <w:p w:rsidR="00346674" w:rsidRDefault="00346674" w:rsidP="009B6C03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2.0 SCOPE:</w:t>
      </w:r>
    </w:p>
    <w:p w:rsidR="00346674" w:rsidRDefault="00346674" w:rsidP="009B6C0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</w:t>
      </w:r>
      <w:r w:rsidR="00B844D4">
        <w:rPr>
          <w:rFonts w:ascii="Arial" w:hAnsi="Arial"/>
          <w:sz w:val="18"/>
        </w:rPr>
        <w:t xml:space="preserve">directive </w:t>
      </w:r>
      <w:r>
        <w:rPr>
          <w:rFonts w:ascii="Arial" w:hAnsi="Arial"/>
          <w:sz w:val="18"/>
        </w:rPr>
        <w:t xml:space="preserve">applies to all </w:t>
      </w:r>
      <w:r w:rsidR="00422579">
        <w:rPr>
          <w:rFonts w:ascii="Arial" w:hAnsi="Arial"/>
          <w:sz w:val="18"/>
        </w:rPr>
        <w:t>King County Metro</w:t>
      </w:r>
      <w:r w:rsidR="00B844D4">
        <w:rPr>
          <w:rFonts w:ascii="Arial" w:hAnsi="Arial"/>
          <w:sz w:val="18"/>
        </w:rPr>
        <w:t xml:space="preserve"> </w:t>
      </w:r>
      <w:r w:rsidR="003B3ED0">
        <w:rPr>
          <w:rFonts w:ascii="Arial" w:hAnsi="Arial"/>
          <w:sz w:val="18"/>
        </w:rPr>
        <w:t>Fare Enforcement Officers.</w:t>
      </w:r>
    </w:p>
    <w:p w:rsidR="000427D6" w:rsidRDefault="000427D6" w:rsidP="009B6C03">
      <w:pPr>
        <w:spacing w:line="360" w:lineRule="auto"/>
        <w:rPr>
          <w:rFonts w:ascii="Arial" w:hAnsi="Arial"/>
          <w:sz w:val="18"/>
        </w:rPr>
      </w:pPr>
    </w:p>
    <w:p w:rsidR="00346674" w:rsidRDefault="00346674" w:rsidP="009B6C03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 xml:space="preserve">3.0 </w:t>
      </w:r>
      <w:r w:rsidR="00B844D4">
        <w:rPr>
          <w:rFonts w:ascii="Arial-BoldMT" w:hAnsi="Arial-BoldMT"/>
          <w:b/>
          <w:snapToGrid w:val="0"/>
        </w:rPr>
        <w:t>DEFINITIONS</w:t>
      </w:r>
      <w:r w:rsidR="00ED4C69">
        <w:rPr>
          <w:rFonts w:ascii="Arial-BoldMT" w:hAnsi="Arial-BoldMT"/>
          <w:b/>
          <w:snapToGrid w:val="0"/>
        </w:rPr>
        <w:t>:</w:t>
      </w:r>
    </w:p>
    <w:p w:rsidR="00423C93" w:rsidRPr="00BC26CD" w:rsidRDefault="008E52AB" w:rsidP="00BC26CD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18"/>
        </w:rPr>
      </w:pPr>
      <w:r w:rsidRPr="00BC26CD">
        <w:rPr>
          <w:rFonts w:ascii="Arial" w:hAnsi="Arial"/>
          <w:b/>
          <w:sz w:val="18"/>
        </w:rPr>
        <w:t>Blocked O</w:t>
      </w:r>
      <w:r w:rsidR="00D25442" w:rsidRPr="00BC26CD">
        <w:rPr>
          <w:rFonts w:ascii="Arial" w:hAnsi="Arial"/>
          <w:b/>
          <w:sz w:val="18"/>
        </w:rPr>
        <w:t>RCA</w:t>
      </w:r>
      <w:r w:rsidR="009E1D8D" w:rsidRPr="00BC26CD">
        <w:rPr>
          <w:rFonts w:ascii="Arial" w:hAnsi="Arial"/>
          <w:b/>
          <w:sz w:val="18"/>
        </w:rPr>
        <w:t xml:space="preserve"> Card </w:t>
      </w:r>
      <w:r w:rsidR="003B3ED0" w:rsidRPr="00BC26CD">
        <w:rPr>
          <w:rFonts w:ascii="Arial" w:hAnsi="Arial"/>
          <w:b/>
          <w:sz w:val="18"/>
        </w:rPr>
        <w:t xml:space="preserve">– </w:t>
      </w:r>
      <w:r w:rsidRPr="00BC26CD">
        <w:rPr>
          <w:rFonts w:ascii="Arial" w:hAnsi="Arial"/>
          <w:sz w:val="18"/>
        </w:rPr>
        <w:t>ORCA c</w:t>
      </w:r>
      <w:r w:rsidR="00342734" w:rsidRPr="00BC26CD">
        <w:rPr>
          <w:rFonts w:ascii="Arial" w:hAnsi="Arial"/>
          <w:sz w:val="18"/>
        </w:rPr>
        <w:t xml:space="preserve">ard that had been reported </w:t>
      </w:r>
      <w:r w:rsidR="009E1D8D" w:rsidRPr="00BC26CD">
        <w:rPr>
          <w:rFonts w:ascii="Arial" w:hAnsi="Arial"/>
          <w:sz w:val="18"/>
        </w:rPr>
        <w:t>lost/</w:t>
      </w:r>
      <w:r w:rsidR="00EC1CD1" w:rsidRPr="00BC26CD">
        <w:rPr>
          <w:rFonts w:ascii="Arial" w:hAnsi="Arial"/>
          <w:sz w:val="18"/>
        </w:rPr>
        <w:t xml:space="preserve">stolen </w:t>
      </w:r>
      <w:r w:rsidR="009E1D8D" w:rsidRPr="00BC26CD">
        <w:rPr>
          <w:rFonts w:ascii="Arial" w:hAnsi="Arial"/>
          <w:sz w:val="18"/>
        </w:rPr>
        <w:t>or deactivate</w:t>
      </w:r>
      <w:r w:rsidRPr="00BC26CD">
        <w:rPr>
          <w:rFonts w:ascii="Arial" w:hAnsi="Arial"/>
          <w:sz w:val="18"/>
        </w:rPr>
        <w:t>d</w:t>
      </w:r>
      <w:r w:rsidR="009E1D8D" w:rsidRPr="00BC26CD">
        <w:rPr>
          <w:rFonts w:ascii="Arial" w:hAnsi="Arial"/>
          <w:sz w:val="18"/>
        </w:rPr>
        <w:t xml:space="preserve"> </w:t>
      </w:r>
    </w:p>
    <w:p w:rsidR="00153100" w:rsidRDefault="00423C93" w:rsidP="00454E5C">
      <w:pPr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D25442">
        <w:rPr>
          <w:rFonts w:ascii="Arial" w:hAnsi="Arial"/>
          <w:noProof/>
          <w:sz w:val="18"/>
        </w:rPr>
        <w:drawing>
          <wp:inline distT="0" distB="0" distL="0" distR="0" wp14:anchorId="21724C94" wp14:editId="38F09F42">
            <wp:extent cx="2110740" cy="1583055"/>
            <wp:effectExtent l="0" t="0" r="3810" b="0"/>
            <wp:docPr id="5" name="Picture 1" descr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4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442">
        <w:rPr>
          <w:rFonts w:ascii="Arial" w:hAnsi="Arial"/>
          <w:noProof/>
          <w:sz w:val="18"/>
        </w:rPr>
        <w:drawing>
          <wp:inline distT="0" distB="0" distL="0" distR="0" wp14:anchorId="021A8A7C" wp14:editId="4F3F72EA">
            <wp:extent cx="2089785" cy="1577975"/>
            <wp:effectExtent l="0" t="0" r="5715" b="3175"/>
            <wp:docPr id="2" name="Picture 2" descr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4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E5C">
        <w:rPr>
          <w:rFonts w:ascii="Arial" w:hAnsi="Arial"/>
          <w:sz w:val="18"/>
        </w:rPr>
        <w:tab/>
      </w:r>
      <w:r w:rsidR="00454E5C">
        <w:rPr>
          <w:rFonts w:ascii="Arial" w:hAnsi="Arial"/>
          <w:sz w:val="18"/>
        </w:rPr>
        <w:tab/>
      </w:r>
      <w:r w:rsidR="00454E5C">
        <w:rPr>
          <w:rFonts w:ascii="Arial" w:hAnsi="Arial"/>
          <w:sz w:val="18"/>
        </w:rPr>
        <w:tab/>
      </w:r>
      <w:r w:rsidR="00454E5C">
        <w:rPr>
          <w:rFonts w:ascii="Arial" w:hAnsi="Arial"/>
          <w:sz w:val="18"/>
        </w:rPr>
        <w:tab/>
      </w:r>
      <w:r w:rsidR="00D25442">
        <w:rPr>
          <w:rFonts w:ascii="Arial" w:hAnsi="Arial"/>
          <w:noProof/>
          <w:sz w:val="18"/>
        </w:rPr>
        <w:drawing>
          <wp:inline distT="0" distB="0" distL="0" distR="0" wp14:anchorId="502859DE" wp14:editId="370C88D8">
            <wp:extent cx="2157730" cy="1609090"/>
            <wp:effectExtent l="0" t="0" r="0" b="0"/>
            <wp:docPr id="3" name="Picture 3" descr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4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442">
        <w:rPr>
          <w:rFonts w:ascii="Arial" w:hAnsi="Arial"/>
          <w:noProof/>
          <w:sz w:val="18"/>
        </w:rPr>
        <w:drawing>
          <wp:inline distT="0" distB="0" distL="0" distR="0" wp14:anchorId="76EA8F39" wp14:editId="1F8565DC">
            <wp:extent cx="2032635" cy="1619885"/>
            <wp:effectExtent l="0" t="0" r="5715" b="0"/>
            <wp:docPr id="4" name="Picture 4" descr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4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3E" w:rsidRPr="003B3ED0" w:rsidRDefault="003B3ED0" w:rsidP="004E7AFC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</w:p>
    <w:p w:rsidR="000427D6" w:rsidRDefault="00454E5C" w:rsidP="00BC26CD">
      <w:pPr>
        <w:pStyle w:val="ListParagraph"/>
        <w:numPr>
          <w:ilvl w:val="0"/>
          <w:numId w:val="36"/>
        </w:numPr>
        <w:rPr>
          <w:rFonts w:ascii="Arial" w:hAnsi="Arial"/>
          <w:sz w:val="18"/>
        </w:rPr>
      </w:pPr>
      <w:r w:rsidRPr="00BC26CD">
        <w:rPr>
          <w:rFonts w:ascii="Arial" w:hAnsi="Arial"/>
          <w:b/>
          <w:sz w:val="18"/>
        </w:rPr>
        <w:t xml:space="preserve">FEO </w:t>
      </w:r>
      <w:r w:rsidRPr="00BC26CD">
        <w:rPr>
          <w:rFonts w:ascii="Arial" w:hAnsi="Arial"/>
          <w:sz w:val="18"/>
        </w:rPr>
        <w:t>– Fare Enforcement Officer</w:t>
      </w:r>
    </w:p>
    <w:p w:rsidR="00BC26CD" w:rsidRPr="00BC26CD" w:rsidRDefault="00BC26CD" w:rsidP="00BC26CD">
      <w:pPr>
        <w:pStyle w:val="ListParagraph"/>
        <w:numPr>
          <w:ilvl w:val="0"/>
          <w:numId w:val="36"/>
        </w:numPr>
        <w:rPr>
          <w:rFonts w:ascii="Arial" w:hAnsi="Arial"/>
          <w:sz w:val="18"/>
        </w:rPr>
      </w:pPr>
      <w:r w:rsidRPr="00BC26CD">
        <w:rPr>
          <w:rFonts w:ascii="Arial" w:hAnsi="Arial"/>
          <w:b/>
          <w:sz w:val="18"/>
        </w:rPr>
        <w:t>NOI</w:t>
      </w:r>
      <w:r>
        <w:rPr>
          <w:rFonts w:ascii="Arial" w:hAnsi="Arial"/>
          <w:sz w:val="18"/>
        </w:rPr>
        <w:t xml:space="preserve"> - Notice of Infraction</w:t>
      </w:r>
    </w:p>
    <w:p w:rsidR="00BC26CD" w:rsidRDefault="00BC26CD" w:rsidP="00454E5C">
      <w:pPr>
        <w:ind w:left="360"/>
        <w:rPr>
          <w:rFonts w:ascii="Arial" w:hAnsi="Arial"/>
          <w:sz w:val="18"/>
        </w:rPr>
      </w:pPr>
    </w:p>
    <w:p w:rsidR="00454E5C" w:rsidRDefault="00454E5C" w:rsidP="00DD7E98">
      <w:pPr>
        <w:rPr>
          <w:rFonts w:ascii="Arial" w:hAnsi="Arial"/>
          <w:sz w:val="18"/>
          <w:u w:val="single"/>
        </w:rPr>
      </w:pPr>
      <w:bookmarkStart w:id="0" w:name="_GoBack"/>
      <w:bookmarkEnd w:id="0"/>
    </w:p>
    <w:p w:rsidR="00346674" w:rsidRDefault="00DE5D32" w:rsidP="009B6C03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 xml:space="preserve">4.0 </w:t>
      </w:r>
      <w:r w:rsidR="00CD5D3B">
        <w:rPr>
          <w:rFonts w:ascii="Arial-BoldMT" w:hAnsi="Arial-BoldMT"/>
          <w:b/>
          <w:snapToGrid w:val="0"/>
        </w:rPr>
        <w:t>POLICY</w:t>
      </w:r>
      <w:r w:rsidR="00346674">
        <w:rPr>
          <w:rFonts w:ascii="Arial-BoldMT" w:hAnsi="Arial-BoldMT"/>
          <w:b/>
          <w:snapToGrid w:val="0"/>
        </w:rPr>
        <w:t xml:space="preserve">: </w:t>
      </w:r>
    </w:p>
    <w:p w:rsidR="00603D42" w:rsidRDefault="00EC1CD1" w:rsidP="009B6C03">
      <w:pPr>
        <w:spacing w:line="360" w:lineRule="auto"/>
        <w:rPr>
          <w:rFonts w:ascii="Arial" w:hAnsi="Arial"/>
          <w:sz w:val="18"/>
        </w:rPr>
      </w:pPr>
      <w:r w:rsidRPr="00E86B15">
        <w:rPr>
          <w:rFonts w:ascii="Arial" w:hAnsi="Arial"/>
          <w:sz w:val="18"/>
        </w:rPr>
        <w:t>It is</w:t>
      </w:r>
      <w:r>
        <w:rPr>
          <w:rFonts w:ascii="Arial" w:hAnsi="Arial"/>
          <w:sz w:val="18"/>
        </w:rPr>
        <w:t xml:space="preserve"> </w:t>
      </w:r>
      <w:r w:rsidR="00422579">
        <w:rPr>
          <w:rFonts w:ascii="Arial" w:hAnsi="Arial"/>
          <w:sz w:val="18"/>
        </w:rPr>
        <w:t xml:space="preserve">King County Metro </w:t>
      </w:r>
      <w:r w:rsidRPr="00E86B15">
        <w:rPr>
          <w:rFonts w:ascii="Arial" w:hAnsi="Arial"/>
          <w:sz w:val="18"/>
        </w:rPr>
        <w:t>Policy</w:t>
      </w:r>
      <w:r>
        <w:rPr>
          <w:rFonts w:ascii="Arial" w:hAnsi="Arial"/>
          <w:sz w:val="18"/>
        </w:rPr>
        <w:t xml:space="preserve"> </w:t>
      </w:r>
      <w:r w:rsidR="00CD5D3B">
        <w:rPr>
          <w:rFonts w:ascii="Arial" w:hAnsi="Arial"/>
          <w:sz w:val="18"/>
        </w:rPr>
        <w:t xml:space="preserve">that </w:t>
      </w:r>
      <w:r>
        <w:rPr>
          <w:rFonts w:ascii="Arial" w:hAnsi="Arial"/>
          <w:sz w:val="18"/>
        </w:rPr>
        <w:t xml:space="preserve">FEOs </w:t>
      </w:r>
      <w:r w:rsidR="00CD5D3B">
        <w:rPr>
          <w:rFonts w:ascii="Arial" w:hAnsi="Arial"/>
          <w:sz w:val="18"/>
        </w:rPr>
        <w:t>are</w:t>
      </w:r>
      <w:r w:rsidR="00153100">
        <w:rPr>
          <w:rFonts w:ascii="Arial" w:hAnsi="Arial"/>
          <w:sz w:val="18"/>
        </w:rPr>
        <w:t xml:space="preserve"> </w:t>
      </w:r>
      <w:r w:rsidR="00DF0D13" w:rsidRPr="009B6C03">
        <w:rPr>
          <w:rFonts w:ascii="Arial" w:hAnsi="Arial"/>
          <w:b/>
          <w:sz w:val="18"/>
          <w:u w:val="single"/>
        </w:rPr>
        <w:t>NOT</w:t>
      </w:r>
      <w:r w:rsidR="00DF0D13">
        <w:rPr>
          <w:rFonts w:ascii="Arial" w:hAnsi="Arial"/>
          <w:sz w:val="18"/>
        </w:rPr>
        <w:t xml:space="preserve"> </w:t>
      </w:r>
      <w:r w:rsidR="00CD5D3B">
        <w:rPr>
          <w:rFonts w:ascii="Arial" w:hAnsi="Arial"/>
          <w:sz w:val="18"/>
        </w:rPr>
        <w:t xml:space="preserve">to </w:t>
      </w:r>
      <w:r w:rsidR="00153100">
        <w:rPr>
          <w:rFonts w:ascii="Arial" w:hAnsi="Arial"/>
          <w:sz w:val="18"/>
        </w:rPr>
        <w:t xml:space="preserve">confiscate any BLOCKED ORCA cards used by a passenger as </w:t>
      </w:r>
      <w:r w:rsidR="00CD5D3B">
        <w:rPr>
          <w:rFonts w:ascii="Arial" w:hAnsi="Arial"/>
          <w:sz w:val="18"/>
        </w:rPr>
        <w:t>Proof of Payment</w:t>
      </w:r>
      <w:r w:rsidR="00153100">
        <w:rPr>
          <w:rFonts w:ascii="Arial" w:hAnsi="Arial"/>
          <w:sz w:val="18"/>
        </w:rPr>
        <w:t xml:space="preserve">. </w:t>
      </w:r>
    </w:p>
    <w:p w:rsidR="00537792" w:rsidRDefault="00537792" w:rsidP="009B6C03">
      <w:pPr>
        <w:spacing w:line="360" w:lineRule="auto"/>
        <w:rPr>
          <w:rFonts w:ascii="Arial" w:hAnsi="Arial"/>
          <w:sz w:val="18"/>
        </w:rPr>
      </w:pPr>
    </w:p>
    <w:p w:rsidR="00346674" w:rsidRDefault="00346674" w:rsidP="009B6C03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 xml:space="preserve">5.0 </w:t>
      </w:r>
      <w:r w:rsidR="00153100">
        <w:rPr>
          <w:rFonts w:ascii="Arial-BoldMT" w:hAnsi="Arial-BoldMT"/>
          <w:b/>
          <w:snapToGrid w:val="0"/>
        </w:rPr>
        <w:t>BLOCKED ORCA CARDS</w:t>
      </w:r>
      <w:r w:rsidR="002B62C8">
        <w:rPr>
          <w:rFonts w:ascii="Arial-BoldMT" w:hAnsi="Arial-BoldMT"/>
          <w:b/>
          <w:snapToGrid w:val="0"/>
        </w:rPr>
        <w:t>- FEO Responsibilities</w:t>
      </w:r>
    </w:p>
    <w:p w:rsidR="008E52AB" w:rsidRDefault="00494693" w:rsidP="00537792">
      <w:pPr>
        <w:spacing w:line="360" w:lineRule="auto"/>
        <w:ind w:left="720" w:hanging="36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a. </w:t>
      </w:r>
      <w:r>
        <w:rPr>
          <w:rFonts w:ascii="Arial" w:hAnsi="Arial" w:cs="Arial"/>
          <w:snapToGrid w:val="0"/>
          <w:sz w:val="18"/>
          <w:szCs w:val="18"/>
        </w:rPr>
        <w:tab/>
      </w:r>
      <w:r w:rsidR="005926B3" w:rsidRPr="000427D6">
        <w:rPr>
          <w:rFonts w:ascii="Arial" w:hAnsi="Arial" w:cs="Arial"/>
          <w:snapToGrid w:val="0"/>
          <w:sz w:val="18"/>
          <w:szCs w:val="18"/>
        </w:rPr>
        <w:t xml:space="preserve">FEOs shall check the </w:t>
      </w:r>
      <w:r w:rsidR="008E52AB">
        <w:rPr>
          <w:rFonts w:ascii="Arial" w:hAnsi="Arial" w:cs="Arial"/>
          <w:snapToGrid w:val="0"/>
          <w:sz w:val="18"/>
          <w:szCs w:val="18"/>
        </w:rPr>
        <w:t xml:space="preserve">ORCA </w:t>
      </w:r>
      <w:r w:rsidR="005926B3" w:rsidRPr="000427D6">
        <w:rPr>
          <w:rFonts w:ascii="Arial" w:hAnsi="Arial" w:cs="Arial"/>
          <w:snapToGrid w:val="0"/>
          <w:sz w:val="18"/>
          <w:szCs w:val="18"/>
        </w:rPr>
        <w:t xml:space="preserve">card with the hand held reader. </w:t>
      </w:r>
    </w:p>
    <w:p w:rsidR="005926B3" w:rsidRPr="005926B3" w:rsidRDefault="008E52AB" w:rsidP="00537792">
      <w:pPr>
        <w:spacing w:line="360" w:lineRule="auto"/>
        <w:ind w:left="720" w:hanging="36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lastRenderedPageBreak/>
        <w:t>b.</w:t>
      </w:r>
      <w:r>
        <w:rPr>
          <w:rFonts w:ascii="Arial" w:hAnsi="Arial" w:cs="Arial"/>
          <w:snapToGrid w:val="0"/>
          <w:sz w:val="18"/>
          <w:szCs w:val="18"/>
        </w:rPr>
        <w:tab/>
      </w:r>
      <w:r w:rsidR="005926B3" w:rsidRPr="000427D6">
        <w:rPr>
          <w:rFonts w:ascii="Arial" w:hAnsi="Arial" w:cs="Arial"/>
          <w:snapToGrid w:val="0"/>
          <w:sz w:val="18"/>
          <w:szCs w:val="18"/>
        </w:rPr>
        <w:t>If the reader indicates a blocked card, they shall perform an additional check to determine the reason for the card being blocked.</w:t>
      </w:r>
    </w:p>
    <w:p w:rsidR="00494693" w:rsidRDefault="008E52AB" w:rsidP="00537792">
      <w:pPr>
        <w:spacing w:line="360" w:lineRule="auto"/>
        <w:ind w:left="720" w:hanging="36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c</w:t>
      </w:r>
      <w:r w:rsidR="00494693">
        <w:rPr>
          <w:rFonts w:ascii="Arial" w:hAnsi="Arial" w:cs="Arial"/>
          <w:snapToGrid w:val="0"/>
          <w:sz w:val="18"/>
          <w:szCs w:val="18"/>
        </w:rPr>
        <w:t xml:space="preserve">. </w:t>
      </w:r>
      <w:r w:rsidR="00494693">
        <w:rPr>
          <w:rFonts w:ascii="Arial" w:hAnsi="Arial" w:cs="Arial"/>
          <w:snapToGrid w:val="0"/>
          <w:sz w:val="18"/>
          <w:szCs w:val="18"/>
        </w:rPr>
        <w:tab/>
      </w:r>
      <w:r w:rsidR="00153100">
        <w:rPr>
          <w:rFonts w:ascii="Arial" w:hAnsi="Arial" w:cs="Arial"/>
          <w:snapToGrid w:val="0"/>
          <w:sz w:val="18"/>
          <w:szCs w:val="18"/>
        </w:rPr>
        <w:t xml:space="preserve">FEO’s </w:t>
      </w:r>
      <w:r w:rsidR="00BF3141" w:rsidRPr="00E86B15">
        <w:rPr>
          <w:rFonts w:ascii="Arial" w:hAnsi="Arial" w:cs="Arial"/>
          <w:snapToGrid w:val="0"/>
          <w:sz w:val="18"/>
          <w:szCs w:val="18"/>
        </w:rPr>
        <w:t>shall</w:t>
      </w:r>
      <w:r w:rsidR="00BF3141">
        <w:rPr>
          <w:rFonts w:ascii="Arial" w:hAnsi="Arial" w:cs="Arial"/>
          <w:snapToGrid w:val="0"/>
          <w:sz w:val="18"/>
          <w:szCs w:val="18"/>
        </w:rPr>
        <w:t xml:space="preserve"> </w:t>
      </w:r>
      <w:r w:rsidR="00153100">
        <w:rPr>
          <w:rFonts w:ascii="Arial" w:hAnsi="Arial" w:cs="Arial"/>
          <w:snapToGrid w:val="0"/>
          <w:sz w:val="18"/>
          <w:szCs w:val="18"/>
        </w:rPr>
        <w:t>also check the passes on the card</w:t>
      </w:r>
      <w:r w:rsidR="00222EF5">
        <w:rPr>
          <w:rFonts w:ascii="Arial" w:hAnsi="Arial" w:cs="Arial"/>
          <w:snapToGrid w:val="0"/>
          <w:sz w:val="18"/>
          <w:szCs w:val="18"/>
        </w:rPr>
        <w:t xml:space="preserve">. </w:t>
      </w:r>
      <w:r w:rsidR="00222EF5" w:rsidRPr="00E86B15">
        <w:rPr>
          <w:rFonts w:ascii="Arial" w:hAnsi="Arial" w:cs="Arial"/>
          <w:snapToGrid w:val="0"/>
          <w:sz w:val="18"/>
          <w:szCs w:val="18"/>
        </w:rPr>
        <w:t>Generally</w:t>
      </w:r>
      <w:r w:rsidR="00222EF5">
        <w:rPr>
          <w:rFonts w:ascii="Arial" w:hAnsi="Arial" w:cs="Arial"/>
          <w:snapToGrid w:val="0"/>
          <w:sz w:val="18"/>
          <w:szCs w:val="18"/>
        </w:rPr>
        <w:t xml:space="preserve"> </w:t>
      </w:r>
      <w:r w:rsidR="00153100">
        <w:rPr>
          <w:rFonts w:ascii="Arial" w:hAnsi="Arial" w:cs="Arial"/>
          <w:snapToGrid w:val="0"/>
          <w:sz w:val="18"/>
          <w:szCs w:val="18"/>
        </w:rPr>
        <w:t>the passes will not be blocked.</w:t>
      </w:r>
    </w:p>
    <w:p w:rsidR="004B7459" w:rsidRDefault="008E52AB" w:rsidP="00537792">
      <w:pPr>
        <w:spacing w:line="360" w:lineRule="auto"/>
        <w:ind w:left="720" w:hanging="36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d</w:t>
      </w:r>
      <w:r w:rsidR="00494693">
        <w:rPr>
          <w:rFonts w:ascii="Arial" w:hAnsi="Arial" w:cs="Arial"/>
          <w:snapToGrid w:val="0"/>
          <w:sz w:val="18"/>
          <w:szCs w:val="18"/>
        </w:rPr>
        <w:t xml:space="preserve">. </w:t>
      </w:r>
      <w:r w:rsidR="00494693">
        <w:rPr>
          <w:rFonts w:ascii="Arial" w:hAnsi="Arial" w:cs="Arial"/>
          <w:snapToGrid w:val="0"/>
          <w:sz w:val="18"/>
          <w:szCs w:val="18"/>
        </w:rPr>
        <w:tab/>
      </w:r>
      <w:r w:rsidR="00153100">
        <w:rPr>
          <w:rFonts w:ascii="Arial" w:hAnsi="Arial" w:cs="Arial"/>
          <w:snapToGrid w:val="0"/>
          <w:sz w:val="18"/>
          <w:szCs w:val="18"/>
        </w:rPr>
        <w:t xml:space="preserve">FEOs </w:t>
      </w:r>
      <w:r w:rsidR="00BF3141" w:rsidRPr="00E86B15">
        <w:rPr>
          <w:rFonts w:ascii="Arial" w:hAnsi="Arial" w:cs="Arial"/>
          <w:snapToGrid w:val="0"/>
          <w:sz w:val="18"/>
          <w:szCs w:val="18"/>
        </w:rPr>
        <w:t>shall</w:t>
      </w:r>
      <w:r w:rsidR="00BF3141">
        <w:rPr>
          <w:rFonts w:ascii="Arial" w:hAnsi="Arial" w:cs="Arial"/>
          <w:snapToGrid w:val="0"/>
          <w:sz w:val="18"/>
          <w:szCs w:val="18"/>
        </w:rPr>
        <w:t xml:space="preserve"> </w:t>
      </w:r>
      <w:r w:rsidR="00DF0D13">
        <w:rPr>
          <w:rFonts w:ascii="Arial" w:hAnsi="Arial" w:cs="Arial"/>
          <w:snapToGrid w:val="0"/>
          <w:sz w:val="18"/>
          <w:szCs w:val="18"/>
        </w:rPr>
        <w:t>record</w:t>
      </w:r>
      <w:r w:rsidR="00153100">
        <w:rPr>
          <w:rFonts w:ascii="Arial" w:hAnsi="Arial" w:cs="Arial"/>
          <w:snapToGrid w:val="0"/>
          <w:sz w:val="18"/>
          <w:szCs w:val="18"/>
        </w:rPr>
        <w:t xml:space="preserve"> the</w:t>
      </w:r>
      <w:r w:rsidR="00DF0D13">
        <w:rPr>
          <w:rFonts w:ascii="Arial" w:hAnsi="Arial" w:cs="Arial"/>
          <w:snapToGrid w:val="0"/>
          <w:sz w:val="18"/>
          <w:szCs w:val="18"/>
        </w:rPr>
        <w:t xml:space="preserve"> registration number of the</w:t>
      </w:r>
      <w:r w:rsidR="00153100">
        <w:rPr>
          <w:rFonts w:ascii="Arial" w:hAnsi="Arial" w:cs="Arial"/>
          <w:snapToGrid w:val="0"/>
          <w:sz w:val="18"/>
          <w:szCs w:val="18"/>
        </w:rPr>
        <w:t xml:space="preserve"> blocked ORCA card</w:t>
      </w:r>
      <w:r w:rsidR="00222EF5">
        <w:rPr>
          <w:rFonts w:ascii="Arial" w:hAnsi="Arial" w:cs="Arial"/>
          <w:snapToGrid w:val="0"/>
          <w:sz w:val="18"/>
          <w:szCs w:val="18"/>
        </w:rPr>
        <w:t xml:space="preserve"> </w:t>
      </w:r>
      <w:r w:rsidR="00222EF5" w:rsidRPr="00E86B15">
        <w:rPr>
          <w:rFonts w:ascii="Arial" w:hAnsi="Arial" w:cs="Arial"/>
          <w:snapToGrid w:val="0"/>
          <w:sz w:val="18"/>
          <w:szCs w:val="18"/>
        </w:rPr>
        <w:t xml:space="preserve">and </w:t>
      </w:r>
      <w:r w:rsidR="005926B3" w:rsidRPr="000427D6">
        <w:rPr>
          <w:rFonts w:ascii="Arial" w:hAnsi="Arial" w:cs="Arial"/>
          <w:snapToGrid w:val="0"/>
          <w:sz w:val="18"/>
          <w:szCs w:val="18"/>
        </w:rPr>
        <w:t xml:space="preserve">determine if a </w:t>
      </w:r>
      <w:r w:rsidR="00CD5D3B">
        <w:rPr>
          <w:rFonts w:ascii="Arial" w:hAnsi="Arial" w:cs="Arial"/>
          <w:snapToGrid w:val="0"/>
          <w:sz w:val="18"/>
          <w:szCs w:val="18"/>
        </w:rPr>
        <w:t>Notice of Infraction (NOI)</w:t>
      </w:r>
      <w:r w:rsidR="005926B3" w:rsidRPr="000427D6">
        <w:rPr>
          <w:rFonts w:ascii="Arial" w:hAnsi="Arial" w:cs="Arial"/>
          <w:snapToGrid w:val="0"/>
          <w:sz w:val="18"/>
          <w:szCs w:val="18"/>
        </w:rPr>
        <w:t xml:space="preserve"> is to be issued</w:t>
      </w:r>
      <w:r w:rsidR="00222EF5" w:rsidRPr="000427D6">
        <w:rPr>
          <w:rFonts w:ascii="Arial" w:hAnsi="Arial" w:cs="Arial"/>
          <w:snapToGrid w:val="0"/>
          <w:sz w:val="18"/>
          <w:szCs w:val="18"/>
        </w:rPr>
        <w:t>.</w:t>
      </w:r>
      <w:r w:rsidR="000427D6" w:rsidRPr="000427D6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9E1D8D" w:rsidRDefault="008E52AB" w:rsidP="00537792">
      <w:pPr>
        <w:spacing w:line="360" w:lineRule="auto"/>
        <w:ind w:left="720" w:hanging="36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e</w:t>
      </w:r>
      <w:r w:rsidR="009E1D8D">
        <w:rPr>
          <w:rFonts w:ascii="Arial" w:hAnsi="Arial" w:cs="Arial"/>
          <w:snapToGrid w:val="0"/>
          <w:sz w:val="18"/>
          <w:szCs w:val="18"/>
        </w:rPr>
        <w:t>.</w:t>
      </w:r>
      <w:r w:rsidR="009E1D8D">
        <w:rPr>
          <w:rFonts w:ascii="Arial" w:hAnsi="Arial" w:cs="Arial"/>
          <w:snapToGrid w:val="0"/>
          <w:sz w:val="18"/>
          <w:szCs w:val="18"/>
        </w:rPr>
        <w:tab/>
      </w:r>
      <w:r w:rsidR="005926B3" w:rsidRPr="000427D6">
        <w:rPr>
          <w:rFonts w:ascii="Arial" w:hAnsi="Arial" w:cs="Arial"/>
          <w:snapToGrid w:val="0"/>
          <w:sz w:val="18"/>
          <w:szCs w:val="18"/>
        </w:rPr>
        <w:t xml:space="preserve">If the FEO issues a </w:t>
      </w:r>
      <w:r w:rsidR="00CD5D3B">
        <w:rPr>
          <w:rFonts w:ascii="Arial" w:hAnsi="Arial" w:cs="Arial"/>
          <w:snapToGrid w:val="0"/>
          <w:sz w:val="18"/>
          <w:szCs w:val="18"/>
        </w:rPr>
        <w:t>NOI,</w:t>
      </w:r>
      <w:r w:rsidR="00DF0D13">
        <w:rPr>
          <w:rFonts w:ascii="Arial" w:hAnsi="Arial" w:cs="Arial"/>
          <w:snapToGrid w:val="0"/>
          <w:sz w:val="18"/>
          <w:szCs w:val="18"/>
        </w:rPr>
        <w:t xml:space="preserve"> </w:t>
      </w:r>
      <w:r w:rsidR="00CD5D3B">
        <w:rPr>
          <w:rFonts w:ascii="Arial" w:hAnsi="Arial" w:cs="Arial"/>
          <w:snapToGrid w:val="0"/>
          <w:sz w:val="18"/>
          <w:szCs w:val="18"/>
        </w:rPr>
        <w:t>he/she</w:t>
      </w:r>
      <w:r w:rsidR="00DF0D13">
        <w:rPr>
          <w:rFonts w:ascii="Arial" w:hAnsi="Arial" w:cs="Arial"/>
          <w:snapToGrid w:val="0"/>
          <w:sz w:val="18"/>
          <w:szCs w:val="18"/>
        </w:rPr>
        <w:t xml:space="preserve"> will</w:t>
      </w:r>
      <w:r w:rsidR="004B7459">
        <w:rPr>
          <w:rFonts w:ascii="Arial" w:hAnsi="Arial" w:cs="Arial"/>
          <w:snapToGrid w:val="0"/>
          <w:sz w:val="18"/>
          <w:szCs w:val="18"/>
        </w:rPr>
        <w:t xml:space="preserve"> note in </w:t>
      </w:r>
      <w:r w:rsidR="00CD5D3B">
        <w:rPr>
          <w:rFonts w:ascii="Arial" w:hAnsi="Arial" w:cs="Arial"/>
          <w:snapToGrid w:val="0"/>
          <w:sz w:val="18"/>
          <w:szCs w:val="18"/>
        </w:rPr>
        <w:t>his/her</w:t>
      </w:r>
      <w:r w:rsidR="004B7459">
        <w:rPr>
          <w:rFonts w:ascii="Arial" w:hAnsi="Arial" w:cs="Arial"/>
          <w:snapToGrid w:val="0"/>
          <w:sz w:val="18"/>
          <w:szCs w:val="18"/>
        </w:rPr>
        <w:t xml:space="preserve"> narrative</w:t>
      </w:r>
      <w:r w:rsidR="00DF282D">
        <w:rPr>
          <w:rFonts w:ascii="Arial" w:hAnsi="Arial" w:cs="Arial"/>
          <w:snapToGrid w:val="0"/>
          <w:sz w:val="18"/>
          <w:szCs w:val="18"/>
        </w:rPr>
        <w:t xml:space="preserve"> the card number and</w:t>
      </w:r>
      <w:r w:rsidR="004B7459">
        <w:rPr>
          <w:rFonts w:ascii="Arial" w:hAnsi="Arial" w:cs="Arial"/>
          <w:snapToGrid w:val="0"/>
          <w:sz w:val="18"/>
          <w:szCs w:val="18"/>
        </w:rPr>
        <w:t xml:space="preserve"> what the circumstances were for blocking the card.</w:t>
      </w:r>
    </w:p>
    <w:p w:rsidR="00494693" w:rsidRDefault="008E52AB" w:rsidP="00537792">
      <w:pPr>
        <w:spacing w:line="360" w:lineRule="auto"/>
        <w:ind w:left="720" w:hanging="36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f</w:t>
      </w:r>
      <w:r w:rsidR="009E1D8D">
        <w:rPr>
          <w:rFonts w:ascii="Arial" w:hAnsi="Arial" w:cs="Arial"/>
          <w:snapToGrid w:val="0"/>
          <w:sz w:val="18"/>
          <w:szCs w:val="18"/>
        </w:rPr>
        <w:t>.</w:t>
      </w:r>
      <w:r w:rsidR="009E1D8D">
        <w:rPr>
          <w:rFonts w:ascii="Arial" w:hAnsi="Arial" w:cs="Arial"/>
          <w:snapToGrid w:val="0"/>
          <w:sz w:val="18"/>
          <w:szCs w:val="18"/>
        </w:rPr>
        <w:tab/>
        <w:t>If the FEO</w:t>
      </w:r>
      <w:r w:rsidR="005926B3" w:rsidRPr="000427D6">
        <w:rPr>
          <w:rFonts w:ascii="Arial" w:hAnsi="Arial" w:cs="Arial"/>
          <w:snapToGrid w:val="0"/>
          <w:sz w:val="18"/>
          <w:szCs w:val="18"/>
        </w:rPr>
        <w:t xml:space="preserve"> do</w:t>
      </w:r>
      <w:r w:rsidR="009E1D8D">
        <w:rPr>
          <w:rFonts w:ascii="Arial" w:hAnsi="Arial" w:cs="Arial"/>
          <w:snapToGrid w:val="0"/>
          <w:sz w:val="18"/>
          <w:szCs w:val="18"/>
        </w:rPr>
        <w:t>es</w:t>
      </w:r>
      <w:r w:rsidR="005926B3" w:rsidRPr="000427D6">
        <w:rPr>
          <w:rFonts w:ascii="Arial" w:hAnsi="Arial" w:cs="Arial"/>
          <w:snapToGrid w:val="0"/>
          <w:sz w:val="18"/>
          <w:szCs w:val="18"/>
        </w:rPr>
        <w:t xml:space="preserve"> not issue a </w:t>
      </w:r>
      <w:r w:rsidR="00CD5D3B">
        <w:rPr>
          <w:rFonts w:ascii="Arial" w:hAnsi="Arial" w:cs="Arial"/>
          <w:snapToGrid w:val="0"/>
          <w:sz w:val="18"/>
          <w:szCs w:val="18"/>
        </w:rPr>
        <w:t>NOI</w:t>
      </w:r>
      <w:r w:rsidR="005926B3" w:rsidRPr="000427D6">
        <w:rPr>
          <w:rFonts w:ascii="Arial" w:hAnsi="Arial" w:cs="Arial"/>
          <w:snapToGrid w:val="0"/>
          <w:sz w:val="18"/>
          <w:szCs w:val="18"/>
        </w:rPr>
        <w:t xml:space="preserve">, </w:t>
      </w:r>
      <w:r w:rsidR="00DF0D13">
        <w:rPr>
          <w:rFonts w:ascii="Arial" w:hAnsi="Arial" w:cs="Arial"/>
          <w:snapToGrid w:val="0"/>
          <w:sz w:val="18"/>
          <w:szCs w:val="18"/>
        </w:rPr>
        <w:t xml:space="preserve">the passengers name will be entered in the </w:t>
      </w:r>
      <w:r w:rsidR="00CD5D3B">
        <w:rPr>
          <w:rFonts w:ascii="Arial" w:hAnsi="Arial" w:cs="Arial"/>
          <w:snapToGrid w:val="0"/>
          <w:sz w:val="18"/>
          <w:szCs w:val="18"/>
        </w:rPr>
        <w:t>Warning Log</w:t>
      </w:r>
      <w:r w:rsidR="00CD5D3B" w:rsidRPr="000427D6">
        <w:rPr>
          <w:rFonts w:ascii="Arial" w:hAnsi="Arial" w:cs="Arial"/>
          <w:snapToGrid w:val="0"/>
          <w:sz w:val="18"/>
          <w:szCs w:val="18"/>
        </w:rPr>
        <w:t xml:space="preserve"> </w:t>
      </w:r>
      <w:r w:rsidR="005926B3" w:rsidRPr="000427D6">
        <w:rPr>
          <w:rFonts w:ascii="Arial" w:hAnsi="Arial" w:cs="Arial"/>
          <w:snapToGrid w:val="0"/>
          <w:sz w:val="18"/>
          <w:szCs w:val="18"/>
        </w:rPr>
        <w:t xml:space="preserve">with an explanation of why </w:t>
      </w:r>
      <w:r w:rsidR="00CD5D3B">
        <w:rPr>
          <w:rFonts w:ascii="Arial" w:hAnsi="Arial" w:cs="Arial"/>
          <w:snapToGrid w:val="0"/>
          <w:sz w:val="18"/>
          <w:szCs w:val="18"/>
        </w:rPr>
        <w:t>a NOI</w:t>
      </w:r>
      <w:r w:rsidR="005926B3" w:rsidRPr="000427D6">
        <w:rPr>
          <w:rFonts w:ascii="Arial" w:hAnsi="Arial" w:cs="Arial"/>
          <w:snapToGrid w:val="0"/>
          <w:sz w:val="18"/>
          <w:szCs w:val="18"/>
        </w:rPr>
        <w:t xml:space="preserve"> was </w:t>
      </w:r>
      <w:r w:rsidR="00CD5D3B">
        <w:rPr>
          <w:rFonts w:ascii="Arial" w:hAnsi="Arial" w:cs="Arial"/>
          <w:snapToGrid w:val="0"/>
          <w:sz w:val="18"/>
          <w:szCs w:val="18"/>
        </w:rPr>
        <w:t xml:space="preserve">not </w:t>
      </w:r>
      <w:r w:rsidR="005926B3" w:rsidRPr="000427D6">
        <w:rPr>
          <w:rFonts w:ascii="Arial" w:hAnsi="Arial" w:cs="Arial"/>
          <w:snapToGrid w:val="0"/>
          <w:sz w:val="18"/>
          <w:szCs w:val="18"/>
        </w:rPr>
        <w:t>issued</w:t>
      </w:r>
      <w:r w:rsidR="00422579">
        <w:rPr>
          <w:rFonts w:ascii="Arial" w:hAnsi="Arial" w:cs="Arial"/>
          <w:snapToGrid w:val="0"/>
          <w:sz w:val="18"/>
          <w:szCs w:val="18"/>
        </w:rPr>
        <w:t>.</w:t>
      </w:r>
    </w:p>
    <w:p w:rsidR="009E1D8D" w:rsidRDefault="009E1D8D" w:rsidP="009B6C03">
      <w:pPr>
        <w:spacing w:line="360" w:lineRule="auto"/>
        <w:rPr>
          <w:rFonts w:ascii="Arial" w:hAnsi="Arial" w:cs="Arial"/>
          <w:snapToGrid w:val="0"/>
          <w:sz w:val="18"/>
          <w:szCs w:val="18"/>
        </w:rPr>
      </w:pPr>
    </w:p>
    <w:p w:rsidR="00374420" w:rsidRDefault="00422579" w:rsidP="009B6C03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 xml:space="preserve">6.0 BLOCKED ORCA CARDS- FE Administrative </w:t>
      </w:r>
      <w:r w:rsidR="00374420">
        <w:rPr>
          <w:rFonts w:ascii="Arial-BoldMT" w:hAnsi="Arial-BoldMT"/>
          <w:b/>
          <w:snapToGrid w:val="0"/>
        </w:rPr>
        <w:t>Responsibilities</w:t>
      </w:r>
    </w:p>
    <w:p w:rsidR="00374420" w:rsidRPr="00CD5D3B" w:rsidRDefault="00374420" w:rsidP="00CD5D3B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CD5D3B">
        <w:rPr>
          <w:rFonts w:ascii="Arial" w:hAnsi="Arial" w:cs="Arial"/>
          <w:snapToGrid w:val="0"/>
          <w:sz w:val="18"/>
          <w:szCs w:val="18"/>
        </w:rPr>
        <w:t xml:space="preserve">FE </w:t>
      </w:r>
      <w:r w:rsidR="002B52A1" w:rsidRPr="00CD5D3B">
        <w:rPr>
          <w:rFonts w:ascii="Arial" w:hAnsi="Arial" w:cs="Arial"/>
          <w:snapToGrid w:val="0"/>
          <w:sz w:val="18"/>
          <w:szCs w:val="18"/>
        </w:rPr>
        <w:t>Supervisors</w:t>
      </w:r>
      <w:r w:rsidR="00BF3141" w:rsidRPr="00CD5D3B">
        <w:rPr>
          <w:rFonts w:ascii="Arial" w:hAnsi="Arial" w:cs="Arial"/>
          <w:snapToGrid w:val="0"/>
          <w:sz w:val="18"/>
          <w:szCs w:val="18"/>
        </w:rPr>
        <w:t xml:space="preserve"> shall </w:t>
      </w:r>
      <w:r w:rsidRPr="00CD5D3B">
        <w:rPr>
          <w:rFonts w:ascii="Arial" w:hAnsi="Arial" w:cs="Arial"/>
          <w:snapToGrid w:val="0"/>
          <w:sz w:val="18"/>
          <w:szCs w:val="18"/>
        </w:rPr>
        <w:t xml:space="preserve">check the </w:t>
      </w:r>
      <w:r w:rsidR="00CD5D3B" w:rsidRPr="00CD5D3B">
        <w:rPr>
          <w:rFonts w:ascii="Arial" w:hAnsi="Arial" w:cs="Arial"/>
          <w:snapToGrid w:val="0"/>
          <w:sz w:val="18"/>
          <w:szCs w:val="18"/>
        </w:rPr>
        <w:t>NOI</w:t>
      </w:r>
      <w:r w:rsidRPr="00CD5D3B">
        <w:rPr>
          <w:rFonts w:ascii="Arial" w:hAnsi="Arial" w:cs="Arial"/>
          <w:snapToGrid w:val="0"/>
          <w:sz w:val="18"/>
          <w:szCs w:val="18"/>
        </w:rPr>
        <w:t xml:space="preserve"> to make sure that the card number is included in the</w:t>
      </w:r>
      <w:r w:rsidR="004C500A" w:rsidRPr="00CD5D3B">
        <w:rPr>
          <w:rFonts w:ascii="Arial" w:hAnsi="Arial" w:cs="Arial"/>
          <w:snapToGrid w:val="0"/>
          <w:sz w:val="18"/>
          <w:szCs w:val="18"/>
        </w:rPr>
        <w:t xml:space="preserve"> narrative of the </w:t>
      </w:r>
      <w:r w:rsidR="00BC26CD">
        <w:rPr>
          <w:rFonts w:ascii="Arial" w:hAnsi="Arial" w:cs="Arial"/>
          <w:snapToGrid w:val="0"/>
          <w:sz w:val="18"/>
          <w:szCs w:val="18"/>
        </w:rPr>
        <w:t>NOI</w:t>
      </w:r>
      <w:r w:rsidRPr="00CD5D3B">
        <w:rPr>
          <w:rFonts w:ascii="Arial" w:hAnsi="Arial" w:cs="Arial"/>
          <w:snapToGrid w:val="0"/>
          <w:sz w:val="18"/>
          <w:szCs w:val="18"/>
        </w:rPr>
        <w:t>.</w:t>
      </w:r>
    </w:p>
    <w:p w:rsidR="009B6C03" w:rsidRDefault="009B6C03" w:rsidP="009B6C03">
      <w:pPr>
        <w:spacing w:line="360" w:lineRule="auto"/>
        <w:rPr>
          <w:rFonts w:ascii="Arial" w:hAnsi="Arial" w:cs="Arial"/>
          <w:snapToGrid w:val="0"/>
          <w:sz w:val="18"/>
          <w:szCs w:val="18"/>
        </w:rPr>
      </w:pPr>
    </w:p>
    <w:p w:rsidR="00346674" w:rsidRDefault="00374420" w:rsidP="009B6C03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7</w:t>
      </w:r>
      <w:r w:rsidR="00346674">
        <w:rPr>
          <w:rFonts w:ascii="Arial-BoldMT" w:hAnsi="Arial-BoldMT"/>
          <w:b/>
          <w:snapToGrid w:val="0"/>
        </w:rPr>
        <w:t>.0 REVIEW:</w:t>
      </w:r>
    </w:p>
    <w:p w:rsidR="009B6C03" w:rsidRDefault="00D25442" w:rsidP="002B52A1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KCM Contract Security Coordinator or Delegate will ensure all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are reviewed at least annually to ensure compliance with King County Metro Security Division policy. </w:t>
      </w:r>
      <w:r w:rsidR="0084199C">
        <w:rPr>
          <w:rFonts w:ascii="Arial" w:hAnsi="Arial"/>
          <w:sz w:val="18"/>
        </w:rPr>
        <w:t xml:space="preserve">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will be updated immediately if division procedure changes or when a facility adds or deletes post positions or procedures and duties.</w:t>
      </w:r>
    </w:p>
    <w:p w:rsidR="000427D6" w:rsidRDefault="000427D6" w:rsidP="00DD7E98">
      <w:pPr>
        <w:rPr>
          <w:rFonts w:ascii="Arial" w:hAnsi="Arial"/>
          <w:sz w:val="18"/>
        </w:rPr>
      </w:pPr>
    </w:p>
    <w:p w:rsidR="009B6C03" w:rsidRDefault="0037442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b/>
          <w:snapToGrid w:val="0"/>
        </w:rPr>
        <w:t>8</w:t>
      </w:r>
      <w:r w:rsidR="006B77F0">
        <w:rPr>
          <w:rFonts w:ascii="Arial-BoldMT" w:hAnsi="Arial-BoldMT"/>
          <w:b/>
          <w:snapToGrid w:val="0"/>
        </w:rPr>
        <w:t xml:space="preserve">.0 SUPERSESSION: </w:t>
      </w:r>
      <w:r w:rsidR="004C500A">
        <w:rPr>
          <w:rFonts w:ascii="Arial-BoldMT" w:hAnsi="Arial-BoldMT"/>
          <w:snapToGrid w:val="0"/>
        </w:rPr>
        <w:t xml:space="preserve">All previous Fare Enforcement Manuals. </w:t>
      </w:r>
    </w:p>
    <w:p w:rsidR="00BC26CD" w:rsidRDefault="00BC26CD" w:rsidP="00DD7E98">
      <w:pPr>
        <w:rPr>
          <w:rFonts w:ascii="Arial-BoldMT" w:hAnsi="Arial-BoldMT"/>
          <w:snapToGrid w:val="0"/>
        </w:rPr>
      </w:pPr>
    </w:p>
    <w:p w:rsidR="006B77F0" w:rsidRDefault="0037442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b/>
          <w:snapToGrid w:val="0"/>
        </w:rPr>
        <w:t>9</w:t>
      </w:r>
      <w:r w:rsidR="006B77F0">
        <w:rPr>
          <w:rFonts w:ascii="Arial-BoldMT" w:hAnsi="Arial-BoldMT"/>
          <w:b/>
          <w:snapToGrid w:val="0"/>
        </w:rPr>
        <w:t>.0 EFFECTIVE DATE:</w:t>
      </w:r>
      <w:r w:rsidR="003F0A3E">
        <w:rPr>
          <w:rFonts w:ascii="Arial-BoldMT" w:hAnsi="Arial-BoldMT"/>
          <w:b/>
          <w:snapToGrid w:val="0"/>
        </w:rPr>
        <w:t xml:space="preserve">  </w:t>
      </w:r>
      <w:r w:rsidR="004C500A" w:rsidRPr="00537792">
        <w:rPr>
          <w:rFonts w:ascii="Arial-BoldMT" w:hAnsi="Arial-BoldMT"/>
          <w:snapToGrid w:val="0"/>
        </w:rPr>
        <w:t>01/15/2015</w:t>
      </w: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9B6C03" w:rsidRDefault="009B6C03" w:rsidP="00DD7E98">
      <w:pPr>
        <w:rPr>
          <w:rFonts w:ascii="Arial-BoldMT" w:hAnsi="Arial-BoldMT"/>
          <w:snapToGrid w:val="0"/>
        </w:rPr>
      </w:pPr>
    </w:p>
    <w:p w:rsidR="009B6C03" w:rsidRDefault="009B6C03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>ISSUING AUTHORITY</w:t>
      </w: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9B6C03" w:rsidRDefault="009B6C03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>___________________</w:t>
      </w: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1A4A7F" w:rsidRDefault="006B77F0" w:rsidP="001A4A7F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 w:rsidR="001A4A7F">
        <w:rPr>
          <w:rFonts w:ascii="Arial-BoldMT" w:hAnsi="Arial-BoldMT"/>
          <w:snapToGrid w:val="0"/>
        </w:rPr>
        <w:t>Gail Israelson</w:t>
      </w:r>
    </w:p>
    <w:p w:rsidR="001A4A7F" w:rsidRPr="00C4093D" w:rsidRDefault="001A4A7F" w:rsidP="001A4A7F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 xml:space="preserve">  KCM Contract Security Coordinator</w:t>
      </w:r>
    </w:p>
    <w:p w:rsidR="00607919" w:rsidRPr="003F0A3E" w:rsidRDefault="00607919" w:rsidP="001A4A7F">
      <w:pPr>
        <w:rPr>
          <w:rFonts w:ascii="Arial-BoldMT" w:hAnsi="Arial-BoldMT"/>
          <w:snapToGrid w:val="0"/>
        </w:rPr>
      </w:pPr>
    </w:p>
    <w:sectPr w:rsidR="00607919" w:rsidRPr="003F0A3E" w:rsidSect="0074565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5F" w:rsidRDefault="00E4045F">
      <w:r>
        <w:separator/>
      </w:r>
    </w:p>
  </w:endnote>
  <w:endnote w:type="continuationSeparator" w:id="0">
    <w:p w:rsidR="00E4045F" w:rsidRDefault="00E4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8D" w:rsidRDefault="009E1D8D">
    <w:pPr>
      <w:pStyle w:val="Footer"/>
    </w:pPr>
    <w:r>
      <w:rPr>
        <w:rFonts w:ascii="Arial" w:hAnsi="Arial"/>
        <w:sz w:val="18"/>
      </w:rPr>
      <w:t>SOP-</w:t>
    </w:r>
    <w:r w:rsidR="00D25442">
      <w:rPr>
        <w:rFonts w:ascii="Arial" w:hAnsi="Arial"/>
        <w:sz w:val="18"/>
      </w:rPr>
      <w:t>T</w:t>
    </w:r>
    <w:r>
      <w:rPr>
        <w:rFonts w:ascii="Arial" w:hAnsi="Arial"/>
        <w:sz w:val="18"/>
      </w:rPr>
      <w:t>S 10</w:t>
    </w:r>
    <w:r w:rsidR="00D25442"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-16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5F" w:rsidRDefault="00E4045F">
      <w:r>
        <w:separator/>
      </w:r>
    </w:p>
  </w:footnote>
  <w:footnote w:type="continuationSeparator" w:id="0">
    <w:p w:rsidR="00E4045F" w:rsidRDefault="00E4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8D" w:rsidRPr="00745654" w:rsidRDefault="00D25442">
    <w:pPr>
      <w:pStyle w:val="Heading1"/>
      <w:rPr>
        <w:rFonts w:ascii="Arial" w:hAnsi="Arial" w:cs="Arial"/>
        <w:sz w:val="22"/>
        <w:szCs w:val="22"/>
      </w:rPr>
    </w:pPr>
    <w:r w:rsidRPr="00745654">
      <w:rPr>
        <w:rFonts w:ascii="Arial" w:hAnsi="Arial" w:cs="Arial"/>
        <w:sz w:val="22"/>
        <w:szCs w:val="22"/>
      </w:rPr>
      <w:t>KING COUNTY METRO FARE ENFORCEMENT STANDARD OPERATING PROCEDURES</w:t>
    </w:r>
  </w:p>
  <w:p w:rsidR="009E1D8D" w:rsidRPr="00745654" w:rsidRDefault="009E1D8D">
    <w:pPr>
      <w:rPr>
        <w:rFonts w:ascii="Arial" w:hAnsi="Arial" w:cs="Arial"/>
        <w:b/>
        <w:snapToGrid w:val="0"/>
        <w:sz w:val="22"/>
        <w:szCs w:val="22"/>
      </w:rPr>
    </w:pPr>
    <w:r w:rsidRPr="00745654">
      <w:rPr>
        <w:rFonts w:ascii="Arial" w:hAnsi="Arial" w:cs="Arial"/>
        <w:b/>
        <w:snapToGrid w:val="0"/>
        <w:sz w:val="22"/>
        <w:szCs w:val="22"/>
      </w:rPr>
      <w:t>SOP-</w:t>
    </w:r>
    <w:r w:rsidR="00D25442" w:rsidRPr="00745654">
      <w:rPr>
        <w:rFonts w:ascii="Arial" w:hAnsi="Arial" w:cs="Arial"/>
        <w:b/>
        <w:snapToGrid w:val="0"/>
        <w:sz w:val="22"/>
        <w:szCs w:val="22"/>
      </w:rPr>
      <w:t>T</w:t>
    </w:r>
    <w:r w:rsidRPr="00745654">
      <w:rPr>
        <w:rFonts w:ascii="Arial" w:hAnsi="Arial" w:cs="Arial"/>
        <w:b/>
        <w:snapToGrid w:val="0"/>
        <w:sz w:val="22"/>
        <w:szCs w:val="22"/>
      </w:rPr>
      <w:t>S 10</w:t>
    </w:r>
    <w:r w:rsidR="00731E07" w:rsidRPr="00745654">
      <w:rPr>
        <w:rFonts w:ascii="Arial" w:hAnsi="Arial" w:cs="Arial"/>
        <w:b/>
        <w:snapToGrid w:val="0"/>
        <w:sz w:val="22"/>
        <w:szCs w:val="22"/>
      </w:rPr>
      <w:t>2</w:t>
    </w:r>
    <w:r w:rsidRPr="00745654">
      <w:rPr>
        <w:rFonts w:ascii="Arial" w:hAnsi="Arial" w:cs="Arial"/>
        <w:b/>
        <w:snapToGrid w:val="0"/>
        <w:sz w:val="22"/>
        <w:szCs w:val="22"/>
      </w:rPr>
      <w:t>-16</w:t>
    </w:r>
    <w:r w:rsidR="007B0626" w:rsidRPr="00745654">
      <w:rPr>
        <w:rFonts w:ascii="Arial" w:hAnsi="Arial" w:cs="Arial"/>
        <w:b/>
        <w:snapToGrid w:val="0"/>
        <w:sz w:val="22"/>
        <w:szCs w:val="22"/>
      </w:rPr>
      <w:tab/>
      <w:t>Blocked Orca Card Inspections</w:t>
    </w:r>
    <w:r w:rsidRPr="00745654">
      <w:rPr>
        <w:rFonts w:ascii="Arial" w:hAnsi="Arial" w:cs="Arial"/>
        <w:b/>
        <w:snapToGrid w:val="0"/>
        <w:sz w:val="22"/>
        <w:szCs w:val="22"/>
      </w:rPr>
      <w:tab/>
    </w:r>
    <w:r w:rsidR="001C5696" w:rsidRPr="00745654">
      <w:rPr>
        <w:rFonts w:ascii="Arial" w:hAnsi="Arial" w:cs="Arial"/>
        <w:b/>
        <w:snapToGrid w:val="0"/>
        <w:sz w:val="22"/>
        <w:szCs w:val="22"/>
      </w:rPr>
      <w:t xml:space="preserve">PAGE </w:t>
    </w:r>
    <w:r w:rsidR="001C5696" w:rsidRPr="00745654">
      <w:rPr>
        <w:rFonts w:ascii="Arial" w:hAnsi="Arial" w:cs="Arial"/>
        <w:b/>
        <w:snapToGrid w:val="0"/>
        <w:sz w:val="22"/>
        <w:szCs w:val="22"/>
      </w:rPr>
      <w:fldChar w:fldCharType="begin"/>
    </w:r>
    <w:r w:rsidR="001C5696" w:rsidRPr="00745654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="001C5696" w:rsidRPr="00745654">
      <w:rPr>
        <w:rFonts w:ascii="Arial" w:hAnsi="Arial" w:cs="Arial"/>
        <w:b/>
        <w:snapToGrid w:val="0"/>
        <w:sz w:val="22"/>
        <w:szCs w:val="22"/>
      </w:rPr>
      <w:fldChar w:fldCharType="separate"/>
    </w:r>
    <w:r w:rsidR="00417326">
      <w:rPr>
        <w:rFonts w:ascii="Arial" w:hAnsi="Arial" w:cs="Arial"/>
        <w:b/>
        <w:noProof/>
        <w:snapToGrid w:val="0"/>
        <w:sz w:val="22"/>
        <w:szCs w:val="22"/>
      </w:rPr>
      <w:t>2</w:t>
    </w:r>
    <w:r w:rsidR="001C5696" w:rsidRPr="00745654">
      <w:rPr>
        <w:rFonts w:ascii="Arial" w:hAnsi="Arial" w:cs="Arial"/>
        <w:b/>
        <w:snapToGrid w:val="0"/>
        <w:sz w:val="22"/>
        <w:szCs w:val="22"/>
      </w:rPr>
      <w:fldChar w:fldCharType="end"/>
    </w:r>
    <w:r w:rsidR="001C5696" w:rsidRPr="00745654">
      <w:rPr>
        <w:rFonts w:ascii="Arial" w:hAnsi="Arial" w:cs="Arial"/>
        <w:b/>
        <w:snapToGrid w:val="0"/>
        <w:sz w:val="22"/>
        <w:szCs w:val="22"/>
      </w:rPr>
      <w:t xml:space="preserve"> of </w:t>
    </w:r>
    <w:r w:rsidR="001C5696" w:rsidRPr="00745654">
      <w:rPr>
        <w:rFonts w:ascii="Arial" w:hAnsi="Arial" w:cs="Arial"/>
        <w:b/>
        <w:snapToGrid w:val="0"/>
        <w:sz w:val="22"/>
        <w:szCs w:val="22"/>
      </w:rPr>
      <w:fldChar w:fldCharType="begin"/>
    </w:r>
    <w:r w:rsidR="001C5696" w:rsidRPr="00745654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="001C5696" w:rsidRPr="00745654">
      <w:rPr>
        <w:rFonts w:ascii="Arial" w:hAnsi="Arial" w:cs="Arial"/>
        <w:b/>
        <w:snapToGrid w:val="0"/>
        <w:sz w:val="22"/>
        <w:szCs w:val="22"/>
      </w:rPr>
      <w:fldChar w:fldCharType="separate"/>
    </w:r>
    <w:r w:rsidR="00417326">
      <w:rPr>
        <w:rFonts w:ascii="Arial" w:hAnsi="Arial" w:cs="Arial"/>
        <w:b/>
        <w:noProof/>
        <w:snapToGrid w:val="0"/>
        <w:sz w:val="22"/>
        <w:szCs w:val="22"/>
      </w:rPr>
      <w:t>2</w:t>
    </w:r>
    <w:r w:rsidR="001C5696" w:rsidRPr="00745654">
      <w:rPr>
        <w:rFonts w:ascii="Arial" w:hAnsi="Arial" w:cs="Arial"/>
        <w:b/>
        <w:snapToGrid w:val="0"/>
        <w:sz w:val="22"/>
        <w:szCs w:val="22"/>
      </w:rPr>
      <w:fldChar w:fldCharType="end"/>
    </w:r>
  </w:p>
  <w:p w:rsidR="00422579" w:rsidRPr="00745654" w:rsidRDefault="00422579" w:rsidP="00422579">
    <w:pPr>
      <w:rPr>
        <w:rFonts w:ascii="Arial" w:hAnsi="Arial" w:cs="Arial"/>
        <w:snapToGrid w:val="0"/>
      </w:rPr>
    </w:pPr>
    <w:r w:rsidRPr="00745654">
      <w:rPr>
        <w:rFonts w:ascii="Arial" w:hAnsi="Arial" w:cs="Arial"/>
        <w:snapToGrid w:val="0"/>
      </w:rPr>
      <w:t>Effective:</w:t>
    </w:r>
    <w:r w:rsidRPr="00745654">
      <w:rPr>
        <w:rFonts w:ascii="Arial" w:hAnsi="Arial" w:cs="Arial"/>
        <w:snapToGrid w:val="0"/>
      </w:rPr>
      <w:tab/>
    </w:r>
    <w:r w:rsidRPr="00745654">
      <w:rPr>
        <w:rFonts w:ascii="Arial" w:hAnsi="Arial" w:cs="Arial"/>
        <w:snapToGrid w:val="0"/>
      </w:rPr>
      <w:tab/>
    </w:r>
    <w:r w:rsidR="004C500A" w:rsidRPr="00745654">
      <w:rPr>
        <w:rFonts w:ascii="Arial" w:hAnsi="Arial" w:cs="Arial"/>
        <w:snapToGrid w:val="0"/>
      </w:rPr>
      <w:t>01/15/2015</w:t>
    </w:r>
  </w:p>
  <w:p w:rsidR="00422579" w:rsidRPr="00745654" w:rsidRDefault="00745654" w:rsidP="00422579">
    <w:pPr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Supersedes:</w:t>
    </w:r>
    <w:r>
      <w:rPr>
        <w:rFonts w:ascii="Arial" w:hAnsi="Arial" w:cs="Arial"/>
        <w:snapToGrid w:val="0"/>
      </w:rPr>
      <w:tab/>
    </w:r>
    <w:r w:rsidR="004C500A" w:rsidRPr="00745654">
      <w:rPr>
        <w:rFonts w:ascii="Arial" w:hAnsi="Arial" w:cs="Arial"/>
        <w:snapToGrid w:val="0"/>
      </w:rPr>
      <w:t>All previous Fare Enforcement Manuals</w:t>
    </w:r>
    <w:r w:rsidR="00422579" w:rsidRPr="00745654">
      <w:rPr>
        <w:rFonts w:ascii="Arial" w:hAnsi="Arial" w:cs="Arial"/>
        <w:snapToGrid w:val="0"/>
      </w:rPr>
      <w:t xml:space="preserve"> </w:t>
    </w:r>
  </w:p>
  <w:p w:rsidR="00422579" w:rsidRPr="00745654" w:rsidRDefault="00422579" w:rsidP="00422579">
    <w:pPr>
      <w:rPr>
        <w:rFonts w:ascii="Arial" w:hAnsi="Arial" w:cs="Arial"/>
        <w:snapToGrid w:val="0"/>
      </w:rPr>
    </w:pPr>
    <w:r w:rsidRPr="00745654">
      <w:rPr>
        <w:rFonts w:ascii="Arial" w:hAnsi="Arial" w:cs="Arial"/>
        <w:snapToGrid w:val="0"/>
      </w:rPr>
      <w:t xml:space="preserve">Issuing Office: </w:t>
    </w:r>
    <w:r w:rsidRPr="00745654">
      <w:rPr>
        <w:rFonts w:ascii="Arial" w:hAnsi="Arial" w:cs="Arial"/>
        <w:snapToGrid w:val="0"/>
      </w:rPr>
      <w:tab/>
    </w:r>
    <w:r w:rsidR="00D25442" w:rsidRPr="00745654">
      <w:rPr>
        <w:rFonts w:ascii="Arial" w:hAnsi="Arial" w:cs="Arial"/>
        <w:snapToGrid w:val="0"/>
      </w:rPr>
      <w:t>KING COUNTY METRO TRANSIT SECURITY DIVISION</w:t>
    </w:r>
  </w:p>
  <w:p w:rsidR="009E1D8D" w:rsidRDefault="00D25442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C296110" wp14:editId="0A7D8F03">
              <wp:simplePos x="0" y="0"/>
              <wp:positionH relativeFrom="column">
                <wp:posOffset>-45720</wp:posOffset>
              </wp:positionH>
              <wp:positionV relativeFrom="paragraph">
                <wp:posOffset>57785</wp:posOffset>
              </wp:positionV>
              <wp:extent cx="56692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5pt" to="442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6753C"/>
    <w:multiLevelType w:val="hybridMultilevel"/>
    <w:tmpl w:val="C02A9C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03917"/>
    <w:multiLevelType w:val="hybridMultilevel"/>
    <w:tmpl w:val="BF3AC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18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FE5CDF"/>
    <w:multiLevelType w:val="multilevel"/>
    <w:tmpl w:val="1F2426F8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DA17F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FE10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BA4858"/>
    <w:multiLevelType w:val="hybridMultilevel"/>
    <w:tmpl w:val="42BEF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57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E0CEA"/>
    <w:multiLevelType w:val="hybridMultilevel"/>
    <w:tmpl w:val="540A8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55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A50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BA3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110550"/>
    <w:multiLevelType w:val="hybridMultilevel"/>
    <w:tmpl w:val="F5BE2A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60A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CD6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2204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201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714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451923"/>
    <w:multiLevelType w:val="hybridMultilevel"/>
    <w:tmpl w:val="637E3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305EB"/>
    <w:multiLevelType w:val="hybridMultilevel"/>
    <w:tmpl w:val="57027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840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F23820"/>
    <w:multiLevelType w:val="hybridMultilevel"/>
    <w:tmpl w:val="B4D273C8"/>
    <w:lvl w:ilvl="0" w:tplc="3AD2F0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6D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532A9A"/>
    <w:multiLevelType w:val="hybridMultilevel"/>
    <w:tmpl w:val="AC2EFA88"/>
    <w:lvl w:ilvl="0" w:tplc="3FFAA6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596A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4412CE"/>
    <w:multiLevelType w:val="hybridMultilevel"/>
    <w:tmpl w:val="1B087D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17B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5E0FAE"/>
    <w:multiLevelType w:val="hybridMultilevel"/>
    <w:tmpl w:val="A67EB630"/>
    <w:lvl w:ilvl="0" w:tplc="C32271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8AA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55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2212E6"/>
    <w:multiLevelType w:val="hybridMultilevel"/>
    <w:tmpl w:val="4BF68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A82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198255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7816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7B10F28"/>
    <w:multiLevelType w:val="hybridMultilevel"/>
    <w:tmpl w:val="FF68D4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482D3A"/>
    <w:multiLevelType w:val="hybridMultilevel"/>
    <w:tmpl w:val="255EE8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21"/>
  </w:num>
  <w:num w:numId="4">
    <w:abstractNumId w:val="25"/>
  </w:num>
  <w:num w:numId="5">
    <w:abstractNumId w:val="11"/>
  </w:num>
  <w:num w:numId="6">
    <w:abstractNumId w:val="14"/>
  </w:num>
  <w:num w:numId="7">
    <w:abstractNumId w:val="33"/>
  </w:num>
  <w:num w:numId="8">
    <w:abstractNumId w:val="29"/>
  </w:num>
  <w:num w:numId="9">
    <w:abstractNumId w:val="10"/>
  </w:num>
  <w:num w:numId="10">
    <w:abstractNumId w:val="3"/>
  </w:num>
  <w:num w:numId="11">
    <w:abstractNumId w:val="5"/>
  </w:num>
  <w:num w:numId="12">
    <w:abstractNumId w:val="23"/>
  </w:num>
  <w:num w:numId="13">
    <w:abstractNumId w:val="31"/>
  </w:num>
  <w:num w:numId="14">
    <w:abstractNumId w:val="17"/>
  </w:num>
  <w:num w:numId="15">
    <w:abstractNumId w:val="18"/>
  </w:num>
  <w:num w:numId="16">
    <w:abstractNumId w:val="15"/>
  </w:num>
  <w:num w:numId="17">
    <w:abstractNumId w:val="27"/>
  </w:num>
  <w:num w:numId="18">
    <w:abstractNumId w:val="8"/>
  </w:num>
  <w:num w:numId="19">
    <w:abstractNumId w:val="6"/>
  </w:num>
  <w:num w:numId="20">
    <w:abstractNumId w:val="16"/>
  </w:num>
  <w:num w:numId="21">
    <w:abstractNumId w:val="12"/>
  </w:num>
  <w:num w:numId="22">
    <w:abstractNumId w:val="28"/>
  </w:num>
  <w:num w:numId="23">
    <w:abstractNumId w:val="24"/>
  </w:num>
  <w:num w:numId="24">
    <w:abstractNumId w:val="1"/>
  </w:num>
  <w:num w:numId="25">
    <w:abstractNumId w:val="34"/>
  </w:num>
  <w:num w:numId="26">
    <w:abstractNumId w:val="22"/>
  </w:num>
  <w:num w:numId="27">
    <w:abstractNumId w:val="13"/>
  </w:num>
  <w:num w:numId="28">
    <w:abstractNumId w:val="26"/>
  </w:num>
  <w:num w:numId="29">
    <w:abstractNumId w:val="4"/>
  </w:num>
  <w:num w:numId="30">
    <w:abstractNumId w:val="35"/>
  </w:num>
  <w:num w:numId="31">
    <w:abstractNumId w:val="20"/>
  </w:num>
  <w:num w:numId="32">
    <w:abstractNumId w:val="30"/>
  </w:num>
  <w:num w:numId="33">
    <w:abstractNumId w:val="9"/>
  </w:num>
  <w:num w:numId="34">
    <w:abstractNumId w:val="2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F0"/>
    <w:rsid w:val="000173AD"/>
    <w:rsid w:val="00027758"/>
    <w:rsid w:val="000427D6"/>
    <w:rsid w:val="00066578"/>
    <w:rsid w:val="000744A9"/>
    <w:rsid w:val="0008496B"/>
    <w:rsid w:val="000B7117"/>
    <w:rsid w:val="000D39EF"/>
    <w:rsid w:val="000E6906"/>
    <w:rsid w:val="000E6A2F"/>
    <w:rsid w:val="000F5EA1"/>
    <w:rsid w:val="00123E28"/>
    <w:rsid w:val="00134C43"/>
    <w:rsid w:val="0013799C"/>
    <w:rsid w:val="00153100"/>
    <w:rsid w:val="0016393D"/>
    <w:rsid w:val="001A4A7F"/>
    <w:rsid w:val="001C5696"/>
    <w:rsid w:val="001D51A4"/>
    <w:rsid w:val="00222EF5"/>
    <w:rsid w:val="0022658B"/>
    <w:rsid w:val="00242837"/>
    <w:rsid w:val="0026487F"/>
    <w:rsid w:val="002649E9"/>
    <w:rsid w:val="002A681A"/>
    <w:rsid w:val="002A720F"/>
    <w:rsid w:val="002B52A1"/>
    <w:rsid w:val="002B62C8"/>
    <w:rsid w:val="002E4F4A"/>
    <w:rsid w:val="0030487E"/>
    <w:rsid w:val="00342734"/>
    <w:rsid w:val="00346674"/>
    <w:rsid w:val="00374420"/>
    <w:rsid w:val="00392F8D"/>
    <w:rsid w:val="003B3ED0"/>
    <w:rsid w:val="003F0A3E"/>
    <w:rsid w:val="003F4F6E"/>
    <w:rsid w:val="00417326"/>
    <w:rsid w:val="00422579"/>
    <w:rsid w:val="00423C93"/>
    <w:rsid w:val="00423DC6"/>
    <w:rsid w:val="004435BA"/>
    <w:rsid w:val="00454E5C"/>
    <w:rsid w:val="0046048C"/>
    <w:rsid w:val="00494693"/>
    <w:rsid w:val="00494CB8"/>
    <w:rsid w:val="004B7459"/>
    <w:rsid w:val="004C500A"/>
    <w:rsid w:val="004E1823"/>
    <w:rsid w:val="004E7AFC"/>
    <w:rsid w:val="00512FFC"/>
    <w:rsid w:val="005218E5"/>
    <w:rsid w:val="00525B18"/>
    <w:rsid w:val="00537792"/>
    <w:rsid w:val="005824C5"/>
    <w:rsid w:val="005926B3"/>
    <w:rsid w:val="00595AB9"/>
    <w:rsid w:val="005D2C64"/>
    <w:rsid w:val="00603D42"/>
    <w:rsid w:val="006057A2"/>
    <w:rsid w:val="00607919"/>
    <w:rsid w:val="00615A01"/>
    <w:rsid w:val="00637ACB"/>
    <w:rsid w:val="00662A69"/>
    <w:rsid w:val="006B77F0"/>
    <w:rsid w:val="006D1471"/>
    <w:rsid w:val="006D4EBC"/>
    <w:rsid w:val="006E376B"/>
    <w:rsid w:val="006F61F4"/>
    <w:rsid w:val="0071661A"/>
    <w:rsid w:val="007222F9"/>
    <w:rsid w:val="00731E07"/>
    <w:rsid w:val="00745654"/>
    <w:rsid w:val="00757E33"/>
    <w:rsid w:val="0078277B"/>
    <w:rsid w:val="00785F7E"/>
    <w:rsid w:val="007B0626"/>
    <w:rsid w:val="007B34FB"/>
    <w:rsid w:val="007D1433"/>
    <w:rsid w:val="008009E0"/>
    <w:rsid w:val="0080731C"/>
    <w:rsid w:val="008103D4"/>
    <w:rsid w:val="00834868"/>
    <w:rsid w:val="0084199C"/>
    <w:rsid w:val="0085188B"/>
    <w:rsid w:val="00855492"/>
    <w:rsid w:val="0086625C"/>
    <w:rsid w:val="00871979"/>
    <w:rsid w:val="00871F1F"/>
    <w:rsid w:val="00873365"/>
    <w:rsid w:val="008773F2"/>
    <w:rsid w:val="00886DD3"/>
    <w:rsid w:val="008908CE"/>
    <w:rsid w:val="008C474F"/>
    <w:rsid w:val="008E52AB"/>
    <w:rsid w:val="0091559B"/>
    <w:rsid w:val="00920F26"/>
    <w:rsid w:val="009309E7"/>
    <w:rsid w:val="009647A0"/>
    <w:rsid w:val="00981719"/>
    <w:rsid w:val="009B6C03"/>
    <w:rsid w:val="009C551A"/>
    <w:rsid w:val="009E1D8D"/>
    <w:rsid w:val="009F5875"/>
    <w:rsid w:val="00A31EBA"/>
    <w:rsid w:val="00A611BE"/>
    <w:rsid w:val="00A62504"/>
    <w:rsid w:val="00A81C6C"/>
    <w:rsid w:val="00AD0732"/>
    <w:rsid w:val="00AD78AD"/>
    <w:rsid w:val="00B04A62"/>
    <w:rsid w:val="00B12F58"/>
    <w:rsid w:val="00B5013F"/>
    <w:rsid w:val="00B844D4"/>
    <w:rsid w:val="00BA2989"/>
    <w:rsid w:val="00BB7F0B"/>
    <w:rsid w:val="00BC26CD"/>
    <w:rsid w:val="00BF3141"/>
    <w:rsid w:val="00C076FF"/>
    <w:rsid w:val="00C27FAA"/>
    <w:rsid w:val="00C7012A"/>
    <w:rsid w:val="00C73FF7"/>
    <w:rsid w:val="00CD5D3B"/>
    <w:rsid w:val="00CD654A"/>
    <w:rsid w:val="00CF767F"/>
    <w:rsid w:val="00D032EF"/>
    <w:rsid w:val="00D25442"/>
    <w:rsid w:val="00D606F0"/>
    <w:rsid w:val="00DB3217"/>
    <w:rsid w:val="00DC28F0"/>
    <w:rsid w:val="00DC2984"/>
    <w:rsid w:val="00DD3D26"/>
    <w:rsid w:val="00DD7E98"/>
    <w:rsid w:val="00DE5D32"/>
    <w:rsid w:val="00DF0D13"/>
    <w:rsid w:val="00DF282D"/>
    <w:rsid w:val="00E4045F"/>
    <w:rsid w:val="00E532E2"/>
    <w:rsid w:val="00E5401A"/>
    <w:rsid w:val="00E71501"/>
    <w:rsid w:val="00E770F8"/>
    <w:rsid w:val="00E86B15"/>
    <w:rsid w:val="00E96803"/>
    <w:rsid w:val="00EA4F3C"/>
    <w:rsid w:val="00EC06DC"/>
    <w:rsid w:val="00EC0DAA"/>
    <w:rsid w:val="00EC1CD1"/>
    <w:rsid w:val="00ED4C69"/>
    <w:rsid w:val="00EE4175"/>
    <w:rsid w:val="00F00BA5"/>
    <w:rsid w:val="00F46911"/>
    <w:rsid w:val="00F50955"/>
    <w:rsid w:val="00F5257A"/>
    <w:rsid w:val="00F773D1"/>
    <w:rsid w:val="00F904CC"/>
    <w:rsid w:val="00FC2238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-BoldMT" w:hAnsi="Arial-BoldMT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-BoldMT" w:hAnsi="Arial-BoldMT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sz w:val="1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i/>
      <w:sz w:val="1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rsid w:val="00607919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9B6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-BoldMT" w:hAnsi="Arial-BoldMT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-BoldMT" w:hAnsi="Arial-BoldMT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sz w:val="1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i/>
      <w:sz w:val="1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rsid w:val="00607919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9B6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0722-E909-43ED-BA10-EEA76D3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SOP-SEC 10-16</vt:lpstr>
    </vt:vector>
  </TitlesOfParts>
  <Company>4190-1266875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SOP-SEC 10-16</dc:title>
  <dc:creator>JOSIAH DURHAM</dc:creator>
  <cp:lastModifiedBy>Israelson, Gail</cp:lastModifiedBy>
  <cp:revision>11</cp:revision>
  <cp:lastPrinted>2015-09-28T20:41:00Z</cp:lastPrinted>
  <dcterms:created xsi:type="dcterms:W3CDTF">2015-09-24T18:35:00Z</dcterms:created>
  <dcterms:modified xsi:type="dcterms:W3CDTF">2015-09-28T20:41:00Z</dcterms:modified>
</cp:coreProperties>
</file>